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9F5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jc w:val="left"/>
        <w:rPr>
          <w:color w:val="FDA956"/>
          <w:sz w:val="60"/>
          <w:szCs w:val="60"/>
        </w:rPr>
      </w:pPr>
      <w:r>
        <w:rPr>
          <w:rFonts w:ascii="宋体" w:hAnsi="宋体" w:eastAsia="宋体" w:cs="宋体"/>
          <w:kern w:val="0"/>
          <w:sz w:val="60"/>
          <w:szCs w:val="60"/>
          <w:shd w:val="clear" w:fill="F5F6F7"/>
          <w:lang w:val="en-US" w:eastAsia="zh-CN" w:bidi="ar"/>
        </w:rPr>
        <w:drawing>
          <wp:inline distT="0" distB="0" distL="114300" distR="114300">
            <wp:extent cx="730250" cy="730250"/>
            <wp:effectExtent l="0" t="0" r="12700" b="12700"/>
            <wp:docPr id="8"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56"/>
                    <pic:cNvPicPr>
                      <a:picLocks noChangeAspect="1"/>
                    </pic:cNvPicPr>
                  </pic:nvPicPr>
                  <pic:blipFill>
                    <a:blip r:embed="rId4"/>
                    <a:stretch>
                      <a:fillRect/>
                    </a:stretch>
                  </pic:blipFill>
                  <pic:spPr>
                    <a:xfrm>
                      <a:off x="0" y="0"/>
                      <a:ext cx="730250" cy="730250"/>
                    </a:xfrm>
                    <a:prstGeom prst="rect">
                      <a:avLst/>
                    </a:prstGeom>
                    <a:noFill/>
                    <a:ln w="9525">
                      <a:noFill/>
                    </a:ln>
                  </pic:spPr>
                </pic:pic>
              </a:graphicData>
            </a:graphic>
          </wp:inline>
        </w:drawing>
      </w:r>
      <w:r>
        <w:rPr>
          <w:rFonts w:ascii="宋体" w:hAnsi="宋体" w:eastAsia="宋体" w:cs="宋体"/>
          <w:color w:val="FDA956"/>
          <w:kern w:val="0"/>
          <w:sz w:val="60"/>
          <w:szCs w:val="60"/>
          <w:lang w:val="en-US" w:eastAsia="zh-CN" w:bidi="ar"/>
        </w:rPr>
        <w:t>唐朝</w:t>
      </w:r>
      <w:bookmarkStart w:id="54" w:name="_GoBack"/>
      <w:bookmarkEnd w:id="54"/>
    </w:p>
    <w:p w14:paraId="0C39934E">
      <w:pPr>
        <w:jc w:val="left"/>
        <w:rPr>
          <w:sz w:val="60"/>
          <w:szCs w:val="60"/>
        </w:rPr>
      </w:pPr>
      <w:bookmarkStart w:id="0" w:name="3060-1621846615933"/>
      <w:bookmarkEnd w:id="0"/>
      <w:r>
        <w:rPr>
          <w:sz w:val="60"/>
          <w:szCs w:val="60"/>
        </w:rPr>
        <w:t>2025-04-21 08:46</w:t>
      </w:r>
    </w:p>
    <w:p w14:paraId="533E902E">
      <w:pPr>
        <w:jc w:val="left"/>
        <w:rPr>
          <w:sz w:val="60"/>
          <w:szCs w:val="60"/>
        </w:rPr>
      </w:pPr>
      <w:bookmarkStart w:id="1" w:name="fn0Q-1745236269665"/>
      <w:bookmarkEnd w:id="1"/>
      <w:r>
        <w:rPr>
          <w:rFonts w:ascii="宋体" w:hAnsi="宋体" w:eastAsia="宋体" w:cs="宋体"/>
          <w:color w:val="FDA956"/>
          <w:kern w:val="0"/>
          <w:sz w:val="60"/>
          <w:szCs w:val="60"/>
          <w:lang w:val="en-US" w:eastAsia="zh-CN" w:bidi="ar"/>
        </w:rPr>
        <w:t>@Rango</w:t>
      </w:r>
      <w:r>
        <w:rPr>
          <w:sz w:val="60"/>
          <w:szCs w:val="60"/>
        </w:rPr>
        <w:t xml:space="preserve"> ：如果有人故意怎么办呢？小红圈就有，ta就是要发出去, 就是要搞事情，就是想看到放了个大炮仗。</w:t>
      </w:r>
    </w:p>
    <w:p w14:paraId="446127EE">
      <w:pPr>
        <w:jc w:val="left"/>
        <w:rPr>
          <w:sz w:val="60"/>
          <w:szCs w:val="60"/>
        </w:rPr>
      </w:pPr>
    </w:p>
    <w:p w14:paraId="32C38BA2">
      <w:pPr>
        <w:jc w:val="left"/>
        <w:rPr>
          <w:sz w:val="60"/>
          <w:szCs w:val="60"/>
        </w:rPr>
      </w:pPr>
      <w:r>
        <w:rPr>
          <w:rFonts w:hint="eastAsia" w:ascii="宋体" w:hAnsi="宋体" w:eastAsia="宋体" w:cs="宋体"/>
          <w:color w:val="FDA956"/>
          <w:kern w:val="0"/>
          <w:sz w:val="60"/>
          <w:szCs w:val="60"/>
          <w:lang w:val="en-US" w:eastAsia="zh-CN" w:bidi="ar"/>
        </w:rPr>
        <w:t>唐朝：</w:t>
      </w:r>
      <w:r>
        <w:rPr>
          <w:sz w:val="60"/>
          <w:szCs w:val="60"/>
        </w:rPr>
        <w:t>我的答案很简单，1）充分信任书院里的每个人，绝不日日“防贼”，绝不因噎废食，绝不让“贼”遂了心愿；2）管理员团队和热心朋友们日常关注, 发现不了是什么人干的，我们就默默忍受；3）一旦能发现，果断拉黑踢出去。以长期视角看，假以时日, 这里就一定会越来越舒服。完毕</w:t>
      </w:r>
    </w:p>
    <w:p w14:paraId="7A3BDF8C">
      <w:pPr>
        <w:jc w:val="left"/>
        <w:rPr>
          <w:sz w:val="60"/>
          <w:szCs w:val="60"/>
        </w:rPr>
      </w:pPr>
      <w:bookmarkStart w:id="2" w:name="h8RW-1745236289390"/>
      <w:bookmarkEnd w:id="2"/>
      <w:r>
        <w:rPr>
          <w:sz w:val="60"/>
          <w:szCs w:val="60"/>
        </w:rPr>
        <w:drawing>
          <wp:inline distT="0" distB="0" distL="0" distR="0">
            <wp:extent cx="7925435" cy="2461260"/>
            <wp:effectExtent l="0" t="0" r="18415" b="15240"/>
            <wp:docPr id="1" name="Drawing 0"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0" descr="image.png"/>
                    <pic:cNvPicPr>
                      <a:picLocks noChangeAspect="1"/>
                    </pic:cNvPicPr>
                  </pic:nvPicPr>
                  <pic:blipFill>
                    <a:blip r:embed="rId5"/>
                    <a:stretch>
                      <a:fillRect/>
                    </a:stretch>
                  </pic:blipFill>
                  <pic:spPr>
                    <a:xfrm>
                      <a:off x="0" y="0"/>
                      <a:ext cx="7925435" cy="2461260"/>
                    </a:xfrm>
                    <a:prstGeom prst="rect">
                      <a:avLst/>
                    </a:prstGeom>
                  </pic:spPr>
                </pic:pic>
              </a:graphicData>
            </a:graphic>
          </wp:inline>
        </w:drawing>
      </w:r>
    </w:p>
    <w:p w14:paraId="5DE450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jc w:val="left"/>
        <w:rPr>
          <w:rFonts w:ascii="宋体" w:hAnsi="宋体" w:eastAsia="宋体" w:cs="宋体"/>
          <w:kern w:val="0"/>
          <w:sz w:val="60"/>
          <w:szCs w:val="60"/>
          <w:shd w:val="clear" w:fill="F5F6F7"/>
          <w:lang w:val="en-US" w:eastAsia="zh-CN" w:bidi="ar"/>
        </w:rPr>
      </w:pPr>
      <w:bookmarkStart w:id="3" w:name="mX6c-1745236288263"/>
      <w:bookmarkEnd w:id="3"/>
    </w:p>
    <w:p w14:paraId="3C009E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jc w:val="left"/>
        <w:rPr>
          <w:color w:val="FDA956"/>
          <w:sz w:val="60"/>
          <w:szCs w:val="60"/>
        </w:rPr>
      </w:pPr>
      <w:r>
        <w:rPr>
          <w:rFonts w:ascii="宋体" w:hAnsi="宋体" w:eastAsia="宋体" w:cs="宋体"/>
          <w:kern w:val="0"/>
          <w:sz w:val="60"/>
          <w:szCs w:val="60"/>
          <w:shd w:val="clear" w:fill="F5F6F7"/>
          <w:lang w:val="en-US" w:eastAsia="zh-CN" w:bidi="ar"/>
        </w:rPr>
        <w:drawing>
          <wp:inline distT="0" distB="0" distL="114300" distR="114300">
            <wp:extent cx="730250" cy="730250"/>
            <wp:effectExtent l="0" t="0" r="12700" b="12700"/>
            <wp:docPr id="5"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IMG_256"/>
                    <pic:cNvPicPr>
                      <a:picLocks noChangeAspect="1"/>
                    </pic:cNvPicPr>
                  </pic:nvPicPr>
                  <pic:blipFill>
                    <a:blip r:embed="rId4"/>
                    <a:stretch>
                      <a:fillRect/>
                    </a:stretch>
                  </pic:blipFill>
                  <pic:spPr>
                    <a:xfrm>
                      <a:off x="0" y="0"/>
                      <a:ext cx="730250" cy="730250"/>
                    </a:xfrm>
                    <a:prstGeom prst="rect">
                      <a:avLst/>
                    </a:prstGeom>
                    <a:noFill/>
                    <a:ln w="9525">
                      <a:noFill/>
                    </a:ln>
                  </pic:spPr>
                </pic:pic>
              </a:graphicData>
            </a:graphic>
          </wp:inline>
        </w:drawing>
      </w:r>
      <w:r>
        <w:rPr>
          <w:rFonts w:ascii="宋体" w:hAnsi="宋体" w:eastAsia="宋体" w:cs="宋体"/>
          <w:color w:val="FDA956"/>
          <w:kern w:val="0"/>
          <w:sz w:val="60"/>
          <w:szCs w:val="60"/>
          <w:lang w:val="en-US" w:eastAsia="zh-CN" w:bidi="ar"/>
        </w:rPr>
        <w:t>唐朝</w:t>
      </w:r>
    </w:p>
    <w:p w14:paraId="2B67EAB9">
      <w:pPr>
        <w:jc w:val="left"/>
        <w:rPr>
          <w:sz w:val="60"/>
          <w:szCs w:val="60"/>
        </w:rPr>
      </w:pPr>
      <w:r>
        <w:rPr>
          <w:sz w:val="60"/>
          <w:szCs w:val="60"/>
        </w:rPr>
        <w:t>2025-04-21 08:51</w:t>
      </w:r>
    </w:p>
    <w:p w14:paraId="10D20F1A">
      <w:pPr>
        <w:jc w:val="left"/>
        <w:rPr>
          <w:sz w:val="60"/>
          <w:szCs w:val="60"/>
        </w:rPr>
      </w:pPr>
      <w:bookmarkStart w:id="4" w:name="LEy1-1745236322653"/>
      <w:bookmarkEnd w:id="4"/>
      <w:r>
        <w:rPr>
          <w:sz w:val="60"/>
          <w:szCs w:val="60"/>
        </w:rPr>
        <w:t>无法讨论和碰撞，确实有点浪费素材（可惜我今天这么得意的一篇二老失败案例了 ）。</w:t>
      </w:r>
      <w:r>
        <w:rPr>
          <w:b/>
          <w:color w:val="DA3330"/>
          <w:sz w:val="60"/>
          <w:szCs w:val="60"/>
        </w:rPr>
        <w:t>算了, 从明天起，摸你贴停了，咱们五一假期过后重启</w:t>
      </w:r>
    </w:p>
    <w:p w14:paraId="595B7906">
      <w:pPr>
        <w:jc w:val="left"/>
        <w:rPr>
          <w:sz w:val="60"/>
          <w:szCs w:val="60"/>
        </w:rPr>
      </w:pPr>
      <w:bookmarkStart w:id="5" w:name="rwOu-1745236336463"/>
      <w:bookmarkEnd w:id="5"/>
    </w:p>
    <w:p w14:paraId="63F1CE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jc w:val="left"/>
        <w:rPr>
          <w:color w:val="FDA956"/>
          <w:sz w:val="60"/>
          <w:szCs w:val="60"/>
        </w:rPr>
      </w:pPr>
      <w:bookmarkStart w:id="6" w:name="wOMV-1745236364015"/>
      <w:bookmarkEnd w:id="6"/>
      <w:r>
        <w:rPr>
          <w:rFonts w:ascii="宋体" w:hAnsi="宋体" w:eastAsia="宋体" w:cs="宋体"/>
          <w:kern w:val="0"/>
          <w:sz w:val="60"/>
          <w:szCs w:val="60"/>
          <w:shd w:val="clear" w:fill="F5F6F7"/>
          <w:lang w:val="en-US" w:eastAsia="zh-CN" w:bidi="ar"/>
        </w:rPr>
        <w:drawing>
          <wp:inline distT="0" distB="0" distL="114300" distR="114300">
            <wp:extent cx="730250" cy="730250"/>
            <wp:effectExtent l="0" t="0" r="12700" b="12700"/>
            <wp:docPr id="6"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IMG_256"/>
                    <pic:cNvPicPr>
                      <a:picLocks noChangeAspect="1"/>
                    </pic:cNvPicPr>
                  </pic:nvPicPr>
                  <pic:blipFill>
                    <a:blip r:embed="rId4"/>
                    <a:stretch>
                      <a:fillRect/>
                    </a:stretch>
                  </pic:blipFill>
                  <pic:spPr>
                    <a:xfrm>
                      <a:off x="0" y="0"/>
                      <a:ext cx="730250" cy="730250"/>
                    </a:xfrm>
                    <a:prstGeom prst="rect">
                      <a:avLst/>
                    </a:prstGeom>
                    <a:noFill/>
                    <a:ln w="9525">
                      <a:noFill/>
                    </a:ln>
                  </pic:spPr>
                </pic:pic>
              </a:graphicData>
            </a:graphic>
          </wp:inline>
        </w:drawing>
      </w:r>
      <w:r>
        <w:rPr>
          <w:rFonts w:ascii="宋体" w:hAnsi="宋体" w:eastAsia="宋体" w:cs="宋体"/>
          <w:color w:val="FDA956"/>
          <w:kern w:val="0"/>
          <w:sz w:val="60"/>
          <w:szCs w:val="60"/>
          <w:lang w:val="en-US" w:eastAsia="zh-CN" w:bidi="ar"/>
        </w:rPr>
        <w:t>唐朝</w:t>
      </w:r>
    </w:p>
    <w:p w14:paraId="794433E9">
      <w:pPr>
        <w:jc w:val="left"/>
        <w:rPr>
          <w:sz w:val="60"/>
          <w:szCs w:val="60"/>
        </w:rPr>
      </w:pPr>
      <w:r>
        <w:rPr>
          <w:rFonts w:hint="eastAsia"/>
          <w:sz w:val="60"/>
          <w:szCs w:val="60"/>
          <w:lang w:val="en-US" w:eastAsia="zh-CN"/>
        </w:rPr>
        <w:t>2</w:t>
      </w:r>
      <w:r>
        <w:rPr>
          <w:sz w:val="60"/>
          <w:szCs w:val="60"/>
        </w:rPr>
        <w:t>025-04-21 09:38</w:t>
      </w:r>
    </w:p>
    <w:p w14:paraId="155A03A1">
      <w:pPr>
        <w:jc w:val="left"/>
        <w:rPr>
          <w:sz w:val="60"/>
          <w:szCs w:val="60"/>
        </w:rPr>
      </w:pPr>
      <w:bookmarkStart w:id="7" w:name="0lzz-1745236364259"/>
      <w:bookmarkEnd w:id="7"/>
      <w:r>
        <w:rPr>
          <w:sz w:val="60"/>
          <w:szCs w:val="60"/>
        </w:rPr>
        <w:t>特朗普发帖：THE GOLDEN RULE OF NEGOTIATING ANDSUCCESS: HE WHO HAS THE GOLD MAKES THE RULES. THANK YOU!</w:t>
      </w:r>
    </w:p>
    <w:p w14:paraId="235C431A">
      <w:pPr>
        <w:jc w:val="left"/>
        <w:rPr>
          <w:sz w:val="60"/>
          <w:szCs w:val="60"/>
        </w:rPr>
      </w:pPr>
      <w:bookmarkStart w:id="8" w:name="V8FR-1745236379683"/>
      <w:bookmarkEnd w:id="8"/>
      <w:r>
        <w:rPr>
          <w:sz w:val="60"/>
          <w:szCs w:val="60"/>
        </w:rPr>
        <w:t>分析人士：特朗普说持有黄金的人将拥有一切。买黄金、买黄金、买黄金，暴涨在即。</w:t>
      </w:r>
    </w:p>
    <w:p w14:paraId="5788945D">
      <w:pPr>
        <w:jc w:val="left"/>
        <w:rPr>
          <w:sz w:val="60"/>
          <w:szCs w:val="60"/>
        </w:rPr>
      </w:pPr>
      <w:bookmarkStart w:id="9" w:name="9kQx-1745236383917"/>
      <w:bookmarkEnd w:id="9"/>
      <w:r>
        <w:rPr>
          <w:sz w:val="60"/>
          <w:szCs w:val="60"/>
        </w:rPr>
        <w:t>翻译人士：HE WHO HAS THE GOLD MAKES THE RULES.是一句英文俗语, 意思是“有钱人制定规则”，或者大致接近“有钱能使鬼推磨”的之类的意思。所以，特朗普嘚瑟的是「谈判与成功的黄金法则：掌握筹码的人主导规则」市场炒家：管P它的，特朗普说买入黄金，猴子给给......冲🤣</w:t>
      </w:r>
    </w:p>
    <w:p w14:paraId="155783DB">
      <w:pPr>
        <w:jc w:val="left"/>
        <w:rPr>
          <w:sz w:val="60"/>
          <w:szCs w:val="60"/>
        </w:rPr>
      </w:pPr>
      <w:bookmarkStart w:id="10" w:name="ZZeM-1745236374035"/>
      <w:bookmarkEnd w:id="10"/>
      <w:bookmarkStart w:id="11" w:name="TaGj-1745236398932"/>
      <w:bookmarkEnd w:id="11"/>
    </w:p>
    <w:p w14:paraId="51CB88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jc w:val="left"/>
        <w:rPr>
          <w:color w:val="FDA956"/>
          <w:sz w:val="60"/>
          <w:szCs w:val="60"/>
        </w:rPr>
      </w:pPr>
      <w:bookmarkStart w:id="12" w:name="QToO-1745236399108"/>
      <w:bookmarkEnd w:id="12"/>
      <w:r>
        <w:rPr>
          <w:rFonts w:ascii="宋体" w:hAnsi="宋体" w:eastAsia="宋体" w:cs="宋体"/>
          <w:kern w:val="0"/>
          <w:sz w:val="60"/>
          <w:szCs w:val="60"/>
          <w:shd w:val="clear" w:fill="F5F6F7"/>
          <w:lang w:val="en-US" w:eastAsia="zh-CN" w:bidi="ar"/>
        </w:rPr>
        <w:drawing>
          <wp:inline distT="0" distB="0" distL="114300" distR="114300">
            <wp:extent cx="730250" cy="730250"/>
            <wp:effectExtent l="0" t="0" r="12700" b="12700"/>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4"/>
                    <a:stretch>
                      <a:fillRect/>
                    </a:stretch>
                  </pic:blipFill>
                  <pic:spPr>
                    <a:xfrm>
                      <a:off x="0" y="0"/>
                      <a:ext cx="730250" cy="730250"/>
                    </a:xfrm>
                    <a:prstGeom prst="rect">
                      <a:avLst/>
                    </a:prstGeom>
                    <a:noFill/>
                    <a:ln w="9525">
                      <a:noFill/>
                    </a:ln>
                  </pic:spPr>
                </pic:pic>
              </a:graphicData>
            </a:graphic>
          </wp:inline>
        </w:drawing>
      </w:r>
      <w:r>
        <w:rPr>
          <w:rFonts w:ascii="宋体" w:hAnsi="宋体" w:eastAsia="宋体" w:cs="宋体"/>
          <w:color w:val="FDA956"/>
          <w:kern w:val="0"/>
          <w:sz w:val="60"/>
          <w:szCs w:val="60"/>
          <w:lang w:val="en-US" w:eastAsia="zh-CN" w:bidi="ar"/>
        </w:rPr>
        <w:t>唐朝</w:t>
      </w:r>
    </w:p>
    <w:p w14:paraId="23C8C102">
      <w:pPr>
        <w:jc w:val="left"/>
        <w:rPr>
          <w:sz w:val="60"/>
          <w:szCs w:val="60"/>
        </w:rPr>
      </w:pPr>
      <w:r>
        <w:rPr>
          <w:sz w:val="60"/>
          <w:szCs w:val="60"/>
        </w:rPr>
        <w:t>2025-04-21 09:43</w:t>
      </w:r>
    </w:p>
    <w:p w14:paraId="41E256F2">
      <w:pPr>
        <w:jc w:val="left"/>
        <w:rPr>
          <w:sz w:val="60"/>
          <w:szCs w:val="60"/>
        </w:rPr>
      </w:pPr>
      <w:bookmarkStart w:id="13" w:name="WnrP-1745236399373"/>
      <w:bookmarkEnd w:id="13"/>
      <w:r>
        <w:rPr>
          <w:sz w:val="60"/>
          <w:szCs w:val="60"/>
        </w:rPr>
        <w:t>再次提醒：自18号劝退帖发出以来，已经又有三位朋友退款了。如果你也有一点点类似想法, 千万不要觉着不好意思，直接向我提问并留言“我要退钱”就可以了，马上到手1409.06元，换来袋里有钱+一身轻松</w:t>
      </w:r>
    </w:p>
    <w:p w14:paraId="219E59B7">
      <w:pPr>
        <w:jc w:val="left"/>
        <w:rPr>
          <w:sz w:val="60"/>
          <w:szCs w:val="60"/>
        </w:rPr>
      </w:pPr>
      <w:bookmarkStart w:id="14" w:name="jqYu-1745236414902"/>
      <w:bookmarkEnd w:id="14"/>
    </w:p>
    <w:p w14:paraId="4A140FD6">
      <w:pPr>
        <w:jc w:val="left"/>
        <w:rPr>
          <w:sz w:val="60"/>
          <w:szCs w:val="60"/>
        </w:rPr>
      </w:pPr>
      <w:bookmarkStart w:id="15" w:name="8XUP-1745236415442"/>
      <w:bookmarkEnd w:id="15"/>
      <w:r>
        <w:rPr>
          <w:sz w:val="60"/>
          <w:szCs w:val="60"/>
        </w:rPr>
        <w:drawing>
          <wp:inline distT="0" distB="0" distL="0" distR="0">
            <wp:extent cx="5609590" cy="3546475"/>
            <wp:effectExtent l="0" t="0" r="10160" b="15875"/>
            <wp:docPr id="2" name="Drawing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1" descr="image.png"/>
                    <pic:cNvPicPr>
                      <a:picLocks noChangeAspect="1"/>
                    </pic:cNvPicPr>
                  </pic:nvPicPr>
                  <pic:blipFill>
                    <a:blip r:embed="rId6"/>
                    <a:stretch>
                      <a:fillRect/>
                    </a:stretch>
                  </pic:blipFill>
                  <pic:spPr>
                    <a:xfrm>
                      <a:off x="0" y="0"/>
                      <a:ext cx="5609590" cy="3546475"/>
                    </a:xfrm>
                    <a:prstGeom prst="rect">
                      <a:avLst/>
                    </a:prstGeom>
                  </pic:spPr>
                </pic:pic>
              </a:graphicData>
            </a:graphic>
          </wp:inline>
        </w:drawing>
      </w:r>
    </w:p>
    <w:p w14:paraId="18A72A1A">
      <w:pPr>
        <w:jc w:val="left"/>
        <w:rPr>
          <w:sz w:val="60"/>
          <w:szCs w:val="60"/>
        </w:rPr>
      </w:pPr>
      <w:bookmarkStart w:id="16" w:name="24Od-1745236415447"/>
      <w:bookmarkEnd w:id="16"/>
    </w:p>
    <w:p w14:paraId="233F6CFF">
      <w:pPr>
        <w:jc w:val="left"/>
        <w:rPr>
          <w:sz w:val="60"/>
          <w:szCs w:val="60"/>
        </w:rPr>
      </w:pPr>
      <w:bookmarkStart w:id="17" w:name="tSqM-1745236456960"/>
      <w:bookmarkEnd w:id="17"/>
      <w:r>
        <w:rPr>
          <w:rFonts w:ascii="宋体" w:hAnsi="宋体" w:eastAsia="宋体" w:cs="宋体"/>
          <w:color w:val="FDA956"/>
          <w:kern w:val="0"/>
          <w:sz w:val="60"/>
          <w:szCs w:val="60"/>
          <w:lang w:val="en-US" w:eastAsia="zh-CN" w:bidi="ar"/>
        </w:rPr>
        <w:t>有理由的回报</w:t>
      </w:r>
      <w:r>
        <w:rPr>
          <w:rFonts w:hint="eastAsia" w:ascii="宋体" w:hAnsi="宋体" w:eastAsia="宋体" w:cs="宋体"/>
          <w:color w:val="FDA956"/>
          <w:kern w:val="0"/>
          <w:sz w:val="60"/>
          <w:szCs w:val="60"/>
          <w:lang w:val="en-US" w:eastAsia="zh-CN" w:bidi="ar"/>
        </w:rPr>
        <w:t>：</w:t>
      </w:r>
      <w:r>
        <w:rPr>
          <w:sz w:val="60"/>
          <w:szCs w:val="60"/>
        </w:rPr>
        <w:t>唐朝老师 2024年8月6日发表的摸你贴</w:t>
      </w:r>
    </w:p>
    <w:p w14:paraId="6F525AD5">
      <w:pPr>
        <w:jc w:val="left"/>
        <w:rPr>
          <w:sz w:val="60"/>
          <w:szCs w:val="60"/>
        </w:rPr>
      </w:pPr>
      <w:bookmarkStart w:id="18" w:name="A2Nq-1745236487993"/>
      <w:bookmarkEnd w:id="18"/>
      <w:r>
        <w:rPr>
          <w:color w:val="2C2D31"/>
          <w:sz w:val="60"/>
          <w:szCs w:val="60"/>
          <w:highlight w:val="white"/>
        </w:rPr>
        <w:t>鼓捣猫腻，朋友们早上好</w:t>
      </w:r>
    </w:p>
    <w:p w14:paraId="031E18F5">
      <w:pPr>
        <w:jc w:val="left"/>
        <w:rPr>
          <w:sz w:val="60"/>
          <w:szCs w:val="60"/>
        </w:rPr>
      </w:pPr>
      <w:bookmarkStart w:id="19" w:name="WUVt-1745236505111"/>
      <w:bookmarkEnd w:id="19"/>
      <w:r>
        <w:rPr>
          <w:color w:val="2C2D31"/>
          <w:sz w:val="60"/>
          <w:szCs w:val="60"/>
          <w:highlight w:val="white"/>
        </w:rPr>
        <w:t>接着昨天股市估值太高的提醒，老芒格又批评一种当时市场常见的毛病：给上涨找理由，给下注壮胆，给接盘侠洗脑。他说：</w:t>
      </w:r>
    </w:p>
    <w:p w14:paraId="02788293">
      <w:pPr>
        <w:jc w:val="left"/>
        <w:rPr>
          <w:sz w:val="60"/>
          <w:szCs w:val="60"/>
        </w:rPr>
      </w:pPr>
      <w:bookmarkStart w:id="20" w:name="ZWH8-1745236505115"/>
      <w:bookmarkEnd w:id="20"/>
      <w:r>
        <w:rPr>
          <w:color w:val="2C2D31"/>
          <w:sz w:val="60"/>
          <w:szCs w:val="60"/>
          <w:highlight w:val="white"/>
        </w:rPr>
        <w:t>【由于债券的收益率只有4％，于是他们投向其他投资对象以期获得更高的利润，他们通过给出“有理由的回报”这个概念来解决问题。</w:t>
      </w:r>
    </w:p>
    <w:p w14:paraId="7027A828">
      <w:pPr>
        <w:jc w:val="left"/>
        <w:rPr>
          <w:sz w:val="60"/>
          <w:szCs w:val="60"/>
        </w:rPr>
      </w:pPr>
      <w:bookmarkStart w:id="21" w:name="Dml1-1745236505120"/>
      <w:bookmarkEnd w:id="21"/>
      <w:r>
        <w:rPr>
          <w:color w:val="2C2D31"/>
          <w:sz w:val="60"/>
          <w:szCs w:val="60"/>
          <w:highlight w:val="white"/>
        </w:rPr>
        <w:t>他们投资各种对冲基金和风险资本基金、中期阶段基金、后期阶段基金、私募股权基金，等等，他们执行复杂的交易策略，参与非洲的私募股权计划；他们买入林地…….</w:t>
      </w:r>
    </w:p>
    <w:p w14:paraId="56BAB4E8">
      <w:pPr>
        <w:jc w:val="left"/>
        <w:rPr>
          <w:sz w:val="60"/>
          <w:szCs w:val="60"/>
        </w:rPr>
      </w:pPr>
      <w:bookmarkStart w:id="22" w:name="4BNv-1745236505124"/>
      <w:bookmarkEnd w:id="22"/>
      <w:r>
        <w:rPr>
          <w:color w:val="2C2D31"/>
          <w:sz w:val="60"/>
          <w:szCs w:val="60"/>
          <w:highlight w:val="white"/>
        </w:rPr>
        <w:t>人们转而买入这些替代品，到目前为止，这些替代品运转得还不错。许多大学捐赠基金已经这么做了，这就是我们正置身其中的游戏。</w:t>
      </w:r>
    </w:p>
    <w:p w14:paraId="5EECEA11">
      <w:pPr>
        <w:jc w:val="left"/>
        <w:rPr>
          <w:sz w:val="60"/>
          <w:szCs w:val="60"/>
        </w:rPr>
      </w:pPr>
      <w:bookmarkStart w:id="23" w:name="Wlx4-1745236505128"/>
      <w:bookmarkEnd w:id="23"/>
      <w:r>
        <w:rPr>
          <w:color w:val="2C2D31"/>
          <w:sz w:val="60"/>
          <w:szCs w:val="60"/>
          <w:highlight w:val="white"/>
        </w:rPr>
        <w:t>但如果合理的回报是5％，从长期看，从中谋求9％回报的愿望无疑是无法实现的。我们这一代人之所以做得如此出色，在某种程度上要归功于幸运，而这种幸运不一定会持续。</w:t>
      </w:r>
    </w:p>
    <w:p w14:paraId="21163204">
      <w:pPr>
        <w:jc w:val="left"/>
        <w:rPr>
          <w:sz w:val="60"/>
          <w:szCs w:val="60"/>
        </w:rPr>
      </w:pPr>
      <w:bookmarkStart w:id="24" w:name="xgQ6-1745236505132"/>
      <w:bookmarkEnd w:id="24"/>
      <w:r>
        <w:rPr>
          <w:color w:val="2C2D31"/>
          <w:sz w:val="60"/>
          <w:szCs w:val="60"/>
          <w:highlight w:val="white"/>
        </w:rPr>
        <w:t>未来肯定会出现许多狡辩之辞，许多人声称是在追求阿尔法（α），其实他们只是冒着地震的风险赚钱，如果那年地震没有发生，他们侥幸赚到了钱。这并不是体面的投资之道。</w:t>
      </w:r>
    </w:p>
    <w:p w14:paraId="3A8A58D8">
      <w:pPr>
        <w:jc w:val="left"/>
        <w:rPr>
          <w:sz w:val="60"/>
          <w:szCs w:val="60"/>
        </w:rPr>
      </w:pPr>
      <w:bookmarkStart w:id="25" w:name="35oY-1745236505136"/>
      <w:bookmarkEnd w:id="25"/>
      <w:r>
        <w:rPr>
          <w:color w:val="2C2D31"/>
          <w:sz w:val="60"/>
          <w:szCs w:val="60"/>
          <w:highlight w:val="white"/>
        </w:rPr>
        <w:t>得到幸福，最简单的方法是降低期望值，而不是追求极端的结果。】</w:t>
      </w:r>
    </w:p>
    <w:p w14:paraId="75E8A796">
      <w:pPr>
        <w:jc w:val="left"/>
        <w:rPr>
          <w:sz w:val="60"/>
          <w:szCs w:val="60"/>
        </w:rPr>
      </w:pPr>
      <w:bookmarkStart w:id="26" w:name="Piyl-1745236505138"/>
      <w:bookmarkEnd w:id="26"/>
    </w:p>
    <w:p w14:paraId="4F2ED8E0">
      <w:pPr>
        <w:jc w:val="left"/>
        <w:rPr>
          <w:sz w:val="60"/>
          <w:szCs w:val="60"/>
        </w:rPr>
      </w:pPr>
      <w:bookmarkStart w:id="27" w:name="wXK2-1745236505140"/>
      <w:bookmarkEnd w:id="27"/>
      <w:r>
        <w:rPr>
          <w:color w:val="2C2D31"/>
          <w:sz w:val="60"/>
          <w:szCs w:val="60"/>
          <w:highlight w:val="white"/>
        </w:rPr>
        <w:t>“有理由的回报”，我们今天在市场里一样经常看到。</w:t>
      </w:r>
    </w:p>
    <w:p w14:paraId="2386654F">
      <w:pPr>
        <w:jc w:val="left"/>
        <w:rPr>
          <w:sz w:val="60"/>
          <w:szCs w:val="60"/>
        </w:rPr>
      </w:pPr>
      <w:bookmarkStart w:id="28" w:name="HuTY-1745236505143"/>
      <w:bookmarkEnd w:id="28"/>
    </w:p>
    <w:p w14:paraId="0143FD71">
      <w:pPr>
        <w:jc w:val="left"/>
        <w:rPr>
          <w:sz w:val="60"/>
          <w:szCs w:val="60"/>
        </w:rPr>
      </w:pPr>
      <w:bookmarkStart w:id="29" w:name="V4c5-1745236505145"/>
      <w:bookmarkEnd w:id="29"/>
      <w:r>
        <w:rPr>
          <w:color w:val="2C2D31"/>
          <w:sz w:val="60"/>
          <w:szCs w:val="60"/>
          <w:highlight w:val="white"/>
        </w:rPr>
        <w:t>我们知道，股市投资的底层逻辑，是股权代表企业所有权的一部分，其核心是股权所能赚到的利润，来源于企业经营所获利润。</w:t>
      </w:r>
    </w:p>
    <w:p w14:paraId="38AA8B75">
      <w:pPr>
        <w:jc w:val="left"/>
        <w:rPr>
          <w:sz w:val="60"/>
          <w:szCs w:val="60"/>
        </w:rPr>
      </w:pPr>
      <w:bookmarkStart w:id="30" w:name="hFnr-1745236505147"/>
      <w:bookmarkEnd w:id="30"/>
    </w:p>
    <w:p w14:paraId="5548059F">
      <w:pPr>
        <w:jc w:val="left"/>
        <w:rPr>
          <w:sz w:val="60"/>
          <w:szCs w:val="60"/>
        </w:rPr>
      </w:pPr>
      <w:bookmarkStart w:id="31" w:name="qUhv-1745236505149"/>
      <w:bookmarkEnd w:id="31"/>
      <w:r>
        <w:rPr>
          <w:color w:val="2C2D31"/>
          <w:sz w:val="60"/>
          <w:szCs w:val="60"/>
          <w:highlight w:val="white"/>
        </w:rPr>
        <w:t>这里面天然地就蕴含两个要点，一个是长期而言这家企业必须要真的能赚到钱（无论是今天赚，明天赚，必须要能赚到钱）；二是投资者买入股权的价格不能太高，太高的买入价相当于一次性将未来多年的企业利润提前支付给卖出的股东了。</w:t>
      </w:r>
    </w:p>
    <w:p w14:paraId="046AE175">
      <w:pPr>
        <w:jc w:val="left"/>
        <w:rPr>
          <w:sz w:val="60"/>
          <w:szCs w:val="60"/>
        </w:rPr>
      </w:pPr>
      <w:bookmarkStart w:id="32" w:name="rUnS-1745236505151"/>
      <w:bookmarkEnd w:id="32"/>
    </w:p>
    <w:p w14:paraId="247B3AEE">
      <w:pPr>
        <w:jc w:val="left"/>
        <w:rPr>
          <w:sz w:val="60"/>
          <w:szCs w:val="60"/>
        </w:rPr>
      </w:pPr>
      <w:bookmarkStart w:id="33" w:name="Dvn3-1745236505153"/>
      <w:bookmarkEnd w:id="33"/>
      <w:r>
        <w:rPr>
          <w:color w:val="2C2D31"/>
          <w:sz w:val="60"/>
          <w:szCs w:val="60"/>
          <w:highlight w:val="white"/>
        </w:rPr>
        <w:t>然而，每天眼花缭乱的价格博弈，很快就会让绝大多数投资者忘掉上述底层逻辑。他们不再去关心企业是不是以及能不能持续赚到钱，不关心支付的买入价格是否预支了企业未来的多年利润。他们关心明天、下周、下个月是否会有人愿意支付更高的价格来买入？</w:t>
      </w:r>
    </w:p>
    <w:p w14:paraId="13773310">
      <w:pPr>
        <w:jc w:val="left"/>
        <w:rPr>
          <w:sz w:val="60"/>
          <w:szCs w:val="60"/>
        </w:rPr>
      </w:pPr>
      <w:bookmarkStart w:id="34" w:name="cQ3W-1745236505155"/>
      <w:bookmarkEnd w:id="34"/>
    </w:p>
    <w:p w14:paraId="334FBA0F">
      <w:pPr>
        <w:jc w:val="left"/>
        <w:rPr>
          <w:sz w:val="60"/>
          <w:szCs w:val="60"/>
        </w:rPr>
      </w:pPr>
      <w:bookmarkStart w:id="35" w:name="nXQ3-1745236505157"/>
      <w:bookmarkEnd w:id="35"/>
      <w:r>
        <w:rPr>
          <w:color w:val="2C2D31"/>
          <w:sz w:val="60"/>
          <w:szCs w:val="60"/>
          <w:highlight w:val="white"/>
        </w:rPr>
        <w:t>为此，他们寻找很多理由，来解释自己的买入，不仅给自己壮胆，也有意无意地给潜在的接盘侠洗脑，希望接盘侠能接受和认可这些解释，从而让这件事自我实现。</w:t>
      </w:r>
    </w:p>
    <w:p w14:paraId="4CBEF001">
      <w:pPr>
        <w:jc w:val="left"/>
        <w:rPr>
          <w:sz w:val="60"/>
          <w:szCs w:val="60"/>
        </w:rPr>
      </w:pPr>
      <w:bookmarkStart w:id="36" w:name="o9Gi-1745236505159"/>
      <w:bookmarkEnd w:id="36"/>
    </w:p>
    <w:p w14:paraId="17660D88">
      <w:pPr>
        <w:jc w:val="left"/>
        <w:rPr>
          <w:sz w:val="60"/>
          <w:szCs w:val="60"/>
        </w:rPr>
      </w:pPr>
      <w:bookmarkStart w:id="37" w:name="uq2D-1745236505161"/>
      <w:bookmarkEnd w:id="37"/>
      <w:r>
        <w:rPr>
          <w:color w:val="2C2D31"/>
          <w:sz w:val="60"/>
          <w:szCs w:val="60"/>
          <w:highlight w:val="white"/>
        </w:rPr>
        <w:t>所以，在使用类似清算价值和自由现金流折现（这些具有坚实逻辑的）估值法显示股价已经高估后，市场参与者及寄生于交易的推波助澜群体，就会提出各种各样的花式估值法，比如我们经常听到的市销率，市现率，市订率，市屎率（脱胎于芒格的EBITDA是坨shit），市梦率，以及“让我们为梦想智熄”之类的口号。</w:t>
      </w:r>
    </w:p>
    <w:p w14:paraId="684FA20B">
      <w:pPr>
        <w:jc w:val="left"/>
        <w:rPr>
          <w:sz w:val="60"/>
          <w:szCs w:val="60"/>
        </w:rPr>
      </w:pPr>
      <w:bookmarkStart w:id="38" w:name="bTAI-1745236505163"/>
      <w:bookmarkEnd w:id="38"/>
    </w:p>
    <w:p w14:paraId="0CBFF9E3">
      <w:pPr>
        <w:jc w:val="left"/>
        <w:rPr>
          <w:sz w:val="60"/>
          <w:szCs w:val="60"/>
        </w:rPr>
      </w:pPr>
      <w:bookmarkStart w:id="39" w:name="G24j-1745236505166"/>
      <w:bookmarkEnd w:id="39"/>
      <w:r>
        <w:rPr>
          <w:color w:val="2C2D31"/>
          <w:sz w:val="60"/>
          <w:szCs w:val="60"/>
          <w:highlight w:val="white"/>
        </w:rPr>
        <w:t>这些估值，其重要价值就是给自己壮胆，告诉自己也告诉他人：“我不是博傻，我真的不是博傻，我不傻，我很专业的，我的买入是有理由的”——这就是芒格说的“有理由的回报”。</w:t>
      </w:r>
    </w:p>
    <w:p w14:paraId="055AC86C">
      <w:pPr>
        <w:jc w:val="left"/>
        <w:rPr>
          <w:sz w:val="60"/>
          <w:szCs w:val="60"/>
        </w:rPr>
      </w:pPr>
      <w:bookmarkStart w:id="40" w:name="fKRO-1745236505168"/>
      <w:bookmarkEnd w:id="40"/>
    </w:p>
    <w:p w14:paraId="2E6A2919">
      <w:pPr>
        <w:jc w:val="left"/>
        <w:rPr>
          <w:sz w:val="60"/>
          <w:szCs w:val="60"/>
        </w:rPr>
      </w:pPr>
      <w:bookmarkStart w:id="41" w:name="aV7d-1745236505170"/>
      <w:bookmarkEnd w:id="41"/>
      <w:r>
        <w:rPr>
          <w:color w:val="2C2D31"/>
          <w:sz w:val="60"/>
          <w:szCs w:val="60"/>
          <w:highlight w:val="white"/>
        </w:rPr>
        <w:t>由于市场有无数参与者，这些“投资”短期内表现良好一点儿也不稀奇，很多预言结果都自证了，甚至不排除有些企业未来还真的度过艰难期，成功转化为印钞机，让前面的一切市x率都显得像先知的预言一样。</w:t>
      </w:r>
    </w:p>
    <w:p w14:paraId="5149771A">
      <w:pPr>
        <w:jc w:val="left"/>
        <w:rPr>
          <w:sz w:val="60"/>
          <w:szCs w:val="60"/>
        </w:rPr>
      </w:pPr>
      <w:bookmarkStart w:id="42" w:name="qOv2-1745236505172"/>
      <w:bookmarkEnd w:id="42"/>
    </w:p>
    <w:p w14:paraId="1787DADB">
      <w:pPr>
        <w:jc w:val="left"/>
        <w:rPr>
          <w:sz w:val="60"/>
          <w:szCs w:val="60"/>
        </w:rPr>
      </w:pPr>
      <w:bookmarkStart w:id="43" w:name="59gO-1745236505174"/>
      <w:bookmarkEnd w:id="43"/>
      <w:r>
        <w:rPr>
          <w:color w:val="2C2D31"/>
          <w:sz w:val="60"/>
          <w:szCs w:val="60"/>
          <w:highlight w:val="white"/>
        </w:rPr>
        <w:t>但理性的投资人自己应该心中明白，这类东西就像芒格本段所说，他们冒着地震的风险，只不过刚好地震没有发生。如果发生了，结果就是一声哦豁。这不是阿尔法（α）。</w:t>
      </w:r>
    </w:p>
    <w:p w14:paraId="396EF31C">
      <w:pPr>
        <w:jc w:val="left"/>
        <w:rPr>
          <w:sz w:val="60"/>
          <w:szCs w:val="60"/>
        </w:rPr>
      </w:pPr>
      <w:bookmarkStart w:id="44" w:name="XJwc-1745236505176"/>
      <w:bookmarkEnd w:id="44"/>
    </w:p>
    <w:p w14:paraId="34B3D23A">
      <w:pPr>
        <w:jc w:val="left"/>
        <w:rPr>
          <w:sz w:val="60"/>
          <w:szCs w:val="60"/>
        </w:rPr>
      </w:pPr>
      <w:bookmarkStart w:id="45" w:name="pPID-1745236505178"/>
      <w:bookmarkEnd w:id="45"/>
      <w:r>
        <w:rPr>
          <w:color w:val="2C2D31"/>
          <w:sz w:val="60"/>
          <w:szCs w:val="60"/>
          <w:highlight w:val="white"/>
        </w:rPr>
        <w:t>阿尔法是超额收益，是考虑过所承担的风险（贝塔值β）之后的超额部分。或者简单的说，所承担的风险一样高，你额外获得超额收益才是阿尔法。高速奔驰的汽车轮子下抢出来五毛，那不是阿尔法，是大慈大悲观世音。</w:t>
      </w:r>
    </w:p>
    <w:p w14:paraId="38033A90">
      <w:pPr>
        <w:jc w:val="left"/>
        <w:rPr>
          <w:sz w:val="60"/>
          <w:szCs w:val="60"/>
        </w:rPr>
      </w:pPr>
      <w:bookmarkStart w:id="46" w:name="SlK1-1745236505205"/>
      <w:bookmarkEnd w:id="46"/>
    </w:p>
    <w:p w14:paraId="68E7659B">
      <w:pPr>
        <w:jc w:val="left"/>
        <w:rPr>
          <w:sz w:val="60"/>
          <w:szCs w:val="60"/>
        </w:rPr>
      </w:pPr>
      <w:bookmarkStart w:id="47" w:name="lC7A-1745236505207"/>
      <w:bookmarkEnd w:id="47"/>
      <w:r>
        <w:rPr>
          <w:color w:val="2C2D31"/>
          <w:sz w:val="60"/>
          <w:szCs w:val="60"/>
          <w:highlight w:val="white"/>
        </w:rPr>
        <w:t>再次强调：小范围聊天，希望不要被传到外面去。我不喜欢成为热点，更不喜欢被攻击。谢谢</w:t>
      </w:r>
    </w:p>
    <w:p w14:paraId="3083A817">
      <w:pPr>
        <w:jc w:val="left"/>
        <w:rPr>
          <w:sz w:val="60"/>
          <w:szCs w:val="60"/>
        </w:rPr>
      </w:pPr>
      <w:bookmarkStart w:id="48" w:name="2SZj-1745236820931"/>
      <w:bookmarkEnd w:id="48"/>
    </w:p>
    <w:p w14:paraId="0AFCFE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jc w:val="left"/>
        <w:rPr>
          <w:color w:val="FDA956"/>
          <w:sz w:val="60"/>
          <w:szCs w:val="60"/>
        </w:rPr>
      </w:pPr>
      <w:bookmarkStart w:id="49" w:name="HkPD-1745236821419"/>
      <w:bookmarkEnd w:id="49"/>
      <w:r>
        <w:rPr>
          <w:rFonts w:ascii="宋体" w:hAnsi="宋体" w:eastAsia="宋体" w:cs="宋体"/>
          <w:kern w:val="0"/>
          <w:sz w:val="60"/>
          <w:szCs w:val="60"/>
          <w:shd w:val="clear" w:fill="F5F6F7"/>
          <w:lang w:val="en-US" w:eastAsia="zh-CN" w:bidi="ar"/>
        </w:rPr>
        <w:drawing>
          <wp:inline distT="0" distB="0" distL="114300" distR="114300">
            <wp:extent cx="730250" cy="730250"/>
            <wp:effectExtent l="0" t="0" r="12700" b="12700"/>
            <wp:docPr id="9"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IMG_256"/>
                    <pic:cNvPicPr>
                      <a:picLocks noChangeAspect="1"/>
                    </pic:cNvPicPr>
                  </pic:nvPicPr>
                  <pic:blipFill>
                    <a:blip r:embed="rId4"/>
                    <a:stretch>
                      <a:fillRect/>
                    </a:stretch>
                  </pic:blipFill>
                  <pic:spPr>
                    <a:xfrm>
                      <a:off x="0" y="0"/>
                      <a:ext cx="730250" cy="730250"/>
                    </a:xfrm>
                    <a:prstGeom prst="rect">
                      <a:avLst/>
                    </a:prstGeom>
                    <a:noFill/>
                    <a:ln w="9525">
                      <a:noFill/>
                    </a:ln>
                  </pic:spPr>
                </pic:pic>
              </a:graphicData>
            </a:graphic>
          </wp:inline>
        </w:drawing>
      </w:r>
      <w:r>
        <w:rPr>
          <w:rFonts w:ascii="宋体" w:hAnsi="宋体" w:eastAsia="宋体" w:cs="宋体"/>
          <w:color w:val="FDA956"/>
          <w:kern w:val="0"/>
          <w:sz w:val="60"/>
          <w:szCs w:val="60"/>
          <w:lang w:val="en-US" w:eastAsia="zh-CN" w:bidi="ar"/>
        </w:rPr>
        <w:t>唐朝</w:t>
      </w:r>
    </w:p>
    <w:p w14:paraId="5A5120A4">
      <w:pPr>
        <w:jc w:val="left"/>
        <w:rPr>
          <w:sz w:val="60"/>
          <w:szCs w:val="60"/>
        </w:rPr>
      </w:pPr>
      <w:r>
        <w:rPr>
          <w:rFonts w:hint="eastAsia"/>
          <w:sz w:val="60"/>
          <w:szCs w:val="60"/>
          <w:lang w:val="en-US" w:eastAsia="zh-CN"/>
        </w:rPr>
        <w:t>2</w:t>
      </w:r>
      <w:r>
        <w:rPr>
          <w:sz w:val="60"/>
          <w:szCs w:val="60"/>
        </w:rPr>
        <w:t>025-04-21 10:49</w:t>
      </w:r>
    </w:p>
    <w:p w14:paraId="71B4D23D">
      <w:pPr>
        <w:jc w:val="left"/>
        <w:rPr>
          <w:sz w:val="60"/>
          <w:szCs w:val="60"/>
        </w:rPr>
      </w:pPr>
      <w:bookmarkStart w:id="50" w:name="kMZP-1745236822875"/>
      <w:bookmarkEnd w:id="50"/>
      <w:r>
        <w:rPr>
          <w:sz w:val="60"/>
          <w:szCs w:val="60"/>
        </w:rPr>
        <w:t>What is right is not always popular, and what is popular is not always right.～Albert Einstein</w:t>
      </w:r>
    </w:p>
    <w:p w14:paraId="5649BEEC">
      <w:pPr>
        <w:jc w:val="left"/>
        <w:rPr>
          <w:sz w:val="60"/>
          <w:szCs w:val="60"/>
        </w:rPr>
      </w:pPr>
      <w:bookmarkStart w:id="51" w:name="97QG-1745236831618"/>
      <w:bookmarkEnd w:id="51"/>
      <w:r>
        <w:rPr>
          <w:sz w:val="60"/>
          <w:szCs w:val="60"/>
        </w:rPr>
        <w:t>对的事不见得都受欢迎，受欢迎的事不见得都是对的。～爱因斯坦</w:t>
      </w:r>
    </w:p>
    <w:p w14:paraId="3CB3589A">
      <w:pPr>
        <w:jc w:val="left"/>
        <w:rPr>
          <w:sz w:val="60"/>
          <w:szCs w:val="60"/>
        </w:rPr>
      </w:pPr>
      <w:bookmarkStart w:id="52" w:name="2CNH-1745236803008"/>
      <w:bookmarkEnd w:id="52"/>
    </w:p>
    <w:p w14:paraId="5F9B0775">
      <w:pPr>
        <w:jc w:val="left"/>
        <w:rPr>
          <w:sz w:val="60"/>
          <w:szCs w:val="60"/>
        </w:rPr>
      </w:pPr>
      <w:bookmarkStart w:id="53" w:name="5Dfl-1745236803164"/>
      <w:bookmarkEnd w:id="53"/>
    </w:p>
    <w:p w14:paraId="477D4479">
      <w:pPr>
        <w:jc w:val="left"/>
        <w:rPr>
          <w:sz w:val="60"/>
          <w:szCs w:val="60"/>
        </w:rPr>
      </w:pPr>
    </w:p>
    <w:p w14:paraId="3BE6DFE6">
      <w:pPr>
        <w:jc w:val="left"/>
        <w:rPr>
          <w:sz w:val="60"/>
          <w:szCs w:val="60"/>
        </w:rPr>
      </w:pPr>
    </w:p>
    <w:p w14:paraId="35D7ECF7">
      <w:pPr>
        <w:keepNext w:val="0"/>
        <w:keepLines w:val="0"/>
        <w:widowControl/>
        <w:suppressLineNumbers w:val="0"/>
        <w:jc w:val="left"/>
        <w:rPr>
          <w:rFonts w:hint="eastAsia" w:ascii="宋体" w:hAnsi="宋体" w:eastAsia="宋体" w:cs="宋体"/>
          <w:color w:val="000000"/>
          <w:kern w:val="0"/>
          <w:sz w:val="60"/>
          <w:szCs w:val="60"/>
          <w:lang w:val="en-US" w:eastAsia="zh-CN" w:bidi="ar"/>
        </w:rPr>
      </w:pPr>
    </w:p>
    <w:sectPr>
      <w:pgSz w:w="13606" w:h="31680"/>
      <w:pgMar w:top="720" w:right="720" w:bottom="720" w:left="720"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00DE4"/>
    <w:rsid w:val="04146FD5"/>
    <w:rsid w:val="0E1F350F"/>
    <w:rsid w:val="1171774A"/>
    <w:rsid w:val="2DA44878"/>
    <w:rsid w:val="325B6344"/>
    <w:rsid w:val="38975DF4"/>
    <w:rsid w:val="40627EFB"/>
    <w:rsid w:val="4982497B"/>
    <w:rsid w:val="50900441"/>
    <w:rsid w:val="5C5759A7"/>
    <w:rsid w:val="5E3240FC"/>
    <w:rsid w:val="7C612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Words>
  <Characters>2</Characters>
  <Lines>0</Lines>
  <Paragraphs>0</Paragraphs>
  <TotalTime>9</TotalTime>
  <ScaleCrop>false</ScaleCrop>
  <LinksUpToDate>false</LinksUpToDate>
  <CharactersWithSpaces>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2025-03-19T10:32:00Z</dcterms:created>
  <dc:creator>xuyan</dc:creator>
  <cp:lastModifiedBy>徐阳</cp:lastModifiedBy>
  <dcterms:modified xsi:type="dcterms:W3CDTF">2025-04-22T01:04:48Z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eyJoZGlkIjoiMzVkMjk2ZDI1NWM3MTU3OGE5YTQ2NGU0ZDViYmQyZGMiLCJ1c2VySWQiOiIyNjcwMTk1NjMifQ==</vt:lpwstr>
  </property>
  <property fmtid="{D5CDD505-2E9C-101B-9397-08002B2CF9AE}" pid="4" name="ICV">
    <vt:lpwstr>1BD28CCE596B4CF49B8EBA002D28653C_13</vt:lpwstr>
  </property>
</Properties>
</file>